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h6j6i3vn7ar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02/2026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-425604</wp:posOffset>
          </wp:positionH>
          <wp:positionV relativeFrom="paragraph">
            <wp:posOffset>133350</wp:posOffset>
          </wp:positionV>
          <wp:extent cx="6971911" cy="3814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1911" cy="3814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m60b4CA1dkYYzNzs0OxfhB8+A==">CgMxLjAyDmguaDZqNmkzdm43YXJoOAByITF5SmlHQXJYREtsRDJiMlVURW90eWVFbllzdWp6LXFGaw==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